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D9" w:rsidRDefault="00E044B5" w:rsidP="003D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4B5">
        <w:rPr>
          <w:rFonts w:ascii="Times New Roman" w:hAnsi="Times New Roman" w:cs="Times New Roman"/>
          <w:b/>
          <w:bCs/>
          <w:sz w:val="24"/>
          <w:szCs w:val="24"/>
        </w:rPr>
        <w:t>В Сириусе завершилась юбилейная X Всероссийская неделя охрана труда</w:t>
      </w:r>
    </w:p>
    <w:p w:rsidR="00E044B5" w:rsidRPr="00187559" w:rsidRDefault="00E044B5" w:rsidP="003D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D9" w:rsidRDefault="003D1FD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FD9">
        <w:rPr>
          <w:rFonts w:ascii="Times New Roman" w:hAnsi="Times New Roman" w:cs="Times New Roman"/>
          <w:iCs/>
          <w:sz w:val="24"/>
          <w:szCs w:val="24"/>
        </w:rPr>
        <w:t xml:space="preserve">В Сириусе завершила свою работу X Всероссийская неделя охраны труда (ВНОТ), проходившая с 15 по 18 сентября. В деловой программе, которая состояла из более 160 мероприятий, приняли участие порядка 10 </w:t>
      </w:r>
      <w:r w:rsidR="00E044B5">
        <w:rPr>
          <w:rFonts w:ascii="Times New Roman" w:hAnsi="Times New Roman" w:cs="Times New Roman"/>
          <w:iCs/>
          <w:sz w:val="24"/>
          <w:szCs w:val="24"/>
        </w:rPr>
        <w:t>тысяч</w:t>
      </w:r>
      <w:r w:rsidRPr="003D1FD9">
        <w:rPr>
          <w:rFonts w:ascii="Times New Roman" w:hAnsi="Times New Roman" w:cs="Times New Roman"/>
          <w:iCs/>
          <w:sz w:val="24"/>
          <w:szCs w:val="24"/>
        </w:rPr>
        <w:t xml:space="preserve"> участников из 89 регионов России и 26 стран и территорий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D1FD9">
        <w:rPr>
          <w:rFonts w:ascii="Times New Roman" w:hAnsi="Times New Roman" w:cs="Times New Roman"/>
          <w:iCs/>
          <w:sz w:val="24"/>
          <w:szCs w:val="24"/>
        </w:rPr>
        <w:t>представители около 1800 компаний.</w:t>
      </w:r>
      <w:r w:rsidRPr="00187559">
        <w:rPr>
          <w:rFonts w:ascii="Times New Roman" w:hAnsi="Times New Roman" w:cs="Times New Roman"/>
          <w:sz w:val="24"/>
          <w:szCs w:val="24"/>
        </w:rPr>
        <w:t xml:space="preserve">Юбилейный форум был посвящен общенациональной теме – «Народосбережение – гарантия устойчивого развития». </w:t>
      </w:r>
      <w:r w:rsidR="00E044B5" w:rsidRPr="00E044B5">
        <w:rPr>
          <w:rFonts w:ascii="Times New Roman" w:hAnsi="Times New Roman" w:cs="Times New Roman"/>
          <w:sz w:val="24"/>
          <w:szCs w:val="24"/>
        </w:rPr>
        <w:t>Безопасность и здоровье работников в контексте цифровизации и внедрения искусственного интеллекта стали темами обсуждения.</w:t>
      </w:r>
    </w:p>
    <w:p w:rsidR="003D1FD9" w:rsidRDefault="003D1FD9" w:rsidP="003D1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9112113"/>
      <w:r w:rsidRPr="0031588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Всероссийская неделя охраны труда (ВНОТ)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традиции стала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 масштабной площадкой для диалога представителей органов власти, деловых кругов, экспертного сообщества и отраслевых специалистов в сфере обеспечения безопасности труда. В рамках юбилейного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орума особое внимание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уделялось вопросу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народосбережени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52F6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одному из ключевых приоритетов развития Российской Федерации. За годы существования ВНОТ значительно расширила свою повестку: дискуссии и мероприятия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охватили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только вопросы охраны труда, но и аспекты социального обеспечения, а также качества жизни граждан в целом.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Убежден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 xml:space="preserve">, что инновационные технологии и решения, представленные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1588A">
        <w:rPr>
          <w:rFonts w:ascii="Times New Roman" w:eastAsia="Times New Roman" w:hAnsi="Times New Roman" w:cs="Times New Roman"/>
          <w:i/>
          <w:sz w:val="24"/>
          <w:szCs w:val="24"/>
        </w:rPr>
        <w:t>оруме, получат широкое практическое применение на предприятиях различных отраслей страны. Их внедрение позволит не только повысить производительность труда, но и существенно улучшить условия работы, сохранить здоровье сотрудников и увеличить продолжительность их жизни</w:t>
      </w:r>
      <w:r w:rsidRPr="0031588A">
        <w:rPr>
          <w:rFonts w:ascii="Times New Roman" w:eastAsia="Times New Roman" w:hAnsi="Times New Roman" w:cs="Times New Roman"/>
          <w:sz w:val="24"/>
          <w:szCs w:val="24"/>
        </w:rPr>
        <w:t>», – сказал советник Президента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2F67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секретарь Организационного комитета по подготовке и проведению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ВНОТ</w:t>
      </w:r>
      <w:r w:rsidRPr="0031588A">
        <w:rPr>
          <w:rFonts w:ascii="Times New Roman" w:eastAsia="Times New Roman" w:hAnsi="Times New Roman" w:cs="Times New Roman"/>
          <w:b/>
          <w:sz w:val="24"/>
          <w:szCs w:val="24"/>
        </w:rPr>
        <w:t>Антон Кобяков</w:t>
      </w:r>
      <w:r w:rsidRPr="0031588A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90340D" w:rsidRDefault="0090340D" w:rsidP="00E0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40D">
        <w:rPr>
          <w:rFonts w:ascii="Times New Roman" w:hAnsi="Times New Roman" w:cs="Times New Roman"/>
          <w:sz w:val="24"/>
          <w:szCs w:val="24"/>
        </w:rPr>
        <w:t xml:space="preserve">Каждый день ВНОТ-2025 был посвящен отдельной тематике: здоровье на производстве, охрана труда, занятость, работа с молодежью и международный трек. Деловая программа состояла из конференций, технических, дискуссионных и практических сессий, круглых столов, мастер-классов, деловых игр. В мероприятиях приняли участие представители федеральных и региональных органов власти, ведущих российских и иностранных компаний, профсоюзных организаций, научного и экспертного сообщества, а также ведущие специалисты в области охраны труда и эксперты по социальным вопросам. </w:t>
      </w:r>
    </w:p>
    <w:p w:rsidR="00E044B5" w:rsidRDefault="00E044B5" w:rsidP="00E044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D9">
        <w:rPr>
          <w:rFonts w:ascii="Times New Roman" w:hAnsi="Times New Roman" w:cs="Times New Roman"/>
          <w:iCs/>
          <w:sz w:val="24"/>
          <w:szCs w:val="24"/>
        </w:rPr>
        <w:t>«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>Юбилейная X Всероссийская неделя охраны труда завершилась. В этом году на ВНОТ приняли участие порядка 10 тысяч человек. Это абсолютный рекорд. На</w:t>
      </w:r>
      <w:r w:rsidR="0090340D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>орумприехали более 5</w:t>
      </w:r>
      <w:r w:rsidR="0090340D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 xml:space="preserve"> гостей и представителей СМИ из 89 регионов России и 26 стран ближнего и дальнего зарубежья, а также более 3750 представителей российского и иностранного бизнеса из около 1800 компаний. Всего в рамках деловой программы 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состоялось более 160 мероприятий, включая традиционные деловые сессии, а также кейс-чемпионаты, финалы отраслевых конкурсов, совещания корпораций, спортивные мероприятия и традиционный показ средств индивидуальной защиты.Ключевым международным событием </w:t>
      </w:r>
      <w:r w:rsidR="0090340D">
        <w:rPr>
          <w:rFonts w:ascii="Times New Roman" w:hAnsi="Times New Roman" w:cs="Times New Roman"/>
          <w:i/>
          <w:sz w:val="24"/>
          <w:szCs w:val="24"/>
        </w:rPr>
        <w:t>Ф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 xml:space="preserve">орума стало первое заседание Сети стран БРИКС по охране труда. На полях ВНОТ состоялась наша встреча с Министром труда и социальных дел Республики Ирак, по итогам которой был подписан Меморандум о сотрудничестве в сфере труда и социального обеспечения между нашими странами. Сегодня по итогам </w:t>
      </w:r>
      <w:r w:rsidR="0090340D">
        <w:rPr>
          <w:rFonts w:ascii="Times New Roman" w:hAnsi="Times New Roman" w:cs="Times New Roman"/>
          <w:i/>
          <w:sz w:val="24"/>
          <w:szCs w:val="24"/>
        </w:rPr>
        <w:t>Ф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>орума мы можем смело заявить, что ВНОТ – это ведущее мероприятие социально-трудовой сферы не только всеро</w:t>
      </w:r>
      <w:r w:rsidR="0090340D">
        <w:rPr>
          <w:rFonts w:ascii="Times New Roman" w:hAnsi="Times New Roman" w:cs="Times New Roman"/>
          <w:i/>
          <w:sz w:val="24"/>
          <w:szCs w:val="24"/>
        </w:rPr>
        <w:t>с</w:t>
      </w:r>
      <w:r w:rsidR="0090340D" w:rsidRPr="0090340D">
        <w:rPr>
          <w:rFonts w:ascii="Times New Roman" w:hAnsi="Times New Roman" w:cs="Times New Roman"/>
          <w:i/>
          <w:sz w:val="24"/>
          <w:szCs w:val="24"/>
        </w:rPr>
        <w:t>сийского, но и международного уровня</w:t>
      </w:r>
      <w:r w:rsidRPr="001875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87559">
        <w:rPr>
          <w:rFonts w:ascii="Times New Roman" w:hAnsi="Times New Roman" w:cs="Times New Roman"/>
          <w:i/>
          <w:sz w:val="24"/>
          <w:szCs w:val="24"/>
        </w:rPr>
        <w:t>,</w:t>
      </w:r>
      <w:r w:rsidRPr="00187559">
        <w:rPr>
          <w:rFonts w:ascii="Times New Roman" w:hAnsi="Times New Roman" w:cs="Times New Roman"/>
          <w:sz w:val="24"/>
          <w:szCs w:val="24"/>
        </w:rPr>
        <w:t xml:space="preserve"> – сообщил </w:t>
      </w:r>
      <w:r w:rsidRPr="00CB024B">
        <w:rPr>
          <w:rFonts w:ascii="Times New Roman" w:hAnsi="Times New Roman" w:cs="Times New Roman"/>
          <w:bCs/>
          <w:sz w:val="24"/>
          <w:szCs w:val="24"/>
        </w:rPr>
        <w:t xml:space="preserve">глава Минтруда России </w:t>
      </w:r>
      <w:r w:rsidRPr="00187559">
        <w:rPr>
          <w:rFonts w:ascii="Times New Roman" w:hAnsi="Times New Roman" w:cs="Times New Roman"/>
          <w:b/>
          <w:sz w:val="24"/>
          <w:szCs w:val="24"/>
        </w:rPr>
        <w:t>Антон Котяков.</w:t>
      </w:r>
    </w:p>
    <w:p w:rsidR="003D1FD9" w:rsidRDefault="003D1FD9" w:rsidP="00114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В этом году Всероссийская неделя охраны труда стартовала 15 сентября с Молодежного дня, посвященного развитию потенциала молодых специалистов отрасли. Он стал коммуникационной платформой для обмена опытом между разными поколениями профессионалов и обсуждения вопросов формирования безопасной рабочей среды. Темой Молодежного дня в 2025 году стало «Устойчивое и безопасное развитие: формула будущего». В мероприятиях приняли участие более 920 человек: студенты из 40 ведущих вузов страны.</w:t>
      </w:r>
    </w:p>
    <w:p w:rsidR="003D1FD9" w:rsidRDefault="003D1FD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 xml:space="preserve">Одним из ключевых событий деловой программы стал доклад Министра труда и социальной защиты </w:t>
      </w:r>
      <w:r w:rsidR="00D76B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B024B">
        <w:rPr>
          <w:rFonts w:ascii="Times New Roman" w:hAnsi="Times New Roman" w:cs="Times New Roman"/>
          <w:b/>
          <w:bCs/>
          <w:sz w:val="24"/>
          <w:szCs w:val="24"/>
        </w:rPr>
        <w:t>Антона Котякова</w:t>
      </w:r>
      <w:r w:rsidRPr="00187559">
        <w:rPr>
          <w:rFonts w:ascii="Times New Roman" w:hAnsi="Times New Roman" w:cs="Times New Roman"/>
          <w:sz w:val="24"/>
          <w:szCs w:val="24"/>
        </w:rPr>
        <w:t xml:space="preserve"> на тему «Социальная политика и рынок труда: достижение национальных целей развития в условиях современных вызовов». В своем выступлении </w:t>
      </w:r>
      <w:r w:rsidRPr="00CB024B">
        <w:rPr>
          <w:rFonts w:ascii="Times New Roman" w:hAnsi="Times New Roman" w:cs="Times New Roman"/>
          <w:b/>
          <w:bCs/>
          <w:sz w:val="24"/>
          <w:szCs w:val="24"/>
        </w:rPr>
        <w:t>Антон Котяков</w:t>
      </w:r>
      <w:r w:rsidRPr="00187559">
        <w:rPr>
          <w:rFonts w:ascii="Times New Roman" w:hAnsi="Times New Roman" w:cs="Times New Roman"/>
          <w:sz w:val="24"/>
          <w:szCs w:val="24"/>
        </w:rPr>
        <w:t xml:space="preserve"> уделил особое внимание вопросам семейной и демографической политики.</w:t>
      </w:r>
      <w:r w:rsidR="00114749">
        <w:rPr>
          <w:rFonts w:ascii="Times New Roman" w:hAnsi="Times New Roman" w:cs="Times New Roman"/>
          <w:sz w:val="24"/>
          <w:szCs w:val="24"/>
        </w:rPr>
        <w:t>Также</w:t>
      </w:r>
      <w:r w:rsidRPr="00187559">
        <w:rPr>
          <w:rFonts w:ascii="Times New Roman" w:hAnsi="Times New Roman" w:cs="Times New Roman"/>
          <w:sz w:val="24"/>
          <w:szCs w:val="24"/>
        </w:rPr>
        <w:t xml:space="preserve"> состоялась сессия «Кадры для устойчивого роста экономики», в ходе которой обсудили подготовку востребованных кадров, запросы современных компаний, региональные инициативы, карьерное сопровождение молодежи и системную поддержку ветеранов боевых действий.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Центральным событием второго дня работы ВНОТ стала стратегическая пленарная сессия «Народосбережение – гарантия устойчивого развития», на которой Министр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Антон Котяков</w:t>
      </w:r>
      <w:r w:rsidRPr="00114749">
        <w:rPr>
          <w:rFonts w:ascii="Times New Roman" w:hAnsi="Times New Roman" w:cs="Times New Roman"/>
          <w:sz w:val="24"/>
          <w:szCs w:val="24"/>
        </w:rPr>
        <w:t xml:space="preserve"> рассказал о главных стратегических решениях в области охраны труда и об основных векторах работы в этом направлении. Приветственное слово участникам мероприятия направил Президент России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Владимир Путин</w:t>
      </w:r>
      <w:r w:rsidRPr="00114749">
        <w:rPr>
          <w:rFonts w:ascii="Times New Roman" w:hAnsi="Times New Roman" w:cs="Times New Roman"/>
          <w:sz w:val="24"/>
          <w:szCs w:val="24"/>
        </w:rPr>
        <w:t xml:space="preserve">. Также с приветствиями к участникам ВНОТ-2025 обратились председатель Правительства России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Михаил Мишустин</w:t>
      </w:r>
      <w:r w:rsidRPr="00114749">
        <w:rPr>
          <w:rFonts w:ascii="Times New Roman" w:hAnsi="Times New Roman" w:cs="Times New Roman"/>
          <w:sz w:val="24"/>
          <w:szCs w:val="24"/>
        </w:rPr>
        <w:t xml:space="preserve"> и заместитель Председателя Правительства России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Татьяна Голикова</w:t>
      </w:r>
      <w:r w:rsidRPr="00114749">
        <w:rPr>
          <w:rFonts w:ascii="Times New Roman" w:hAnsi="Times New Roman" w:cs="Times New Roman"/>
          <w:sz w:val="24"/>
          <w:szCs w:val="24"/>
        </w:rPr>
        <w:t xml:space="preserve">. 16 сентября на площадке ВНОТ-2025 прошло Всероссийское тестирование по охране труда. В этом году к проверке знаний присоединились более 60 тысяч представителей из самых разных отраслей, как </w:t>
      </w:r>
      <w:r w:rsidRPr="00114749">
        <w:rPr>
          <w:rFonts w:ascii="Times New Roman" w:hAnsi="Times New Roman" w:cs="Times New Roman"/>
          <w:sz w:val="24"/>
          <w:szCs w:val="24"/>
        </w:rPr>
        <w:lastRenderedPageBreak/>
        <w:t>представители бюджетного сектора, так и крупных промышленных предприятий со всей страны.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По традиции на площадке были организованы соревнования по боевому развертыванию, в которых приняли участие сотрудники Сочинского пожарно-спасательного гарнизона МЧС. Завершился второй день ВНОТ фешн-показом средств индивидуальной защиты (СИЗ). Ключевым событием деловой программы третьего дня форума стала сессия «Платформенная экономика и производительность труда как ответ на кадровый дефицит». В дискуссии приняли участие Министр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Антон Котяков</w:t>
      </w:r>
      <w:r w:rsidRPr="00114749">
        <w:rPr>
          <w:rFonts w:ascii="Times New Roman" w:hAnsi="Times New Roman" w:cs="Times New Roman"/>
          <w:sz w:val="24"/>
          <w:szCs w:val="24"/>
        </w:rPr>
        <w:t xml:space="preserve">, Министр сельского хозяйства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Оксана Лут</w:t>
      </w:r>
      <w:r w:rsidRPr="00114749">
        <w:rPr>
          <w:rFonts w:ascii="Times New Roman" w:hAnsi="Times New Roman" w:cs="Times New Roman"/>
          <w:sz w:val="24"/>
          <w:szCs w:val="24"/>
        </w:rPr>
        <w:t xml:space="preserve"> и Министр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Максим Решетников</w:t>
      </w:r>
      <w:r w:rsidRPr="00114749">
        <w:rPr>
          <w:rFonts w:ascii="Times New Roman" w:hAnsi="Times New Roman" w:cs="Times New Roman"/>
          <w:sz w:val="24"/>
          <w:szCs w:val="24"/>
        </w:rPr>
        <w:t>. Министры обсудили развитие платформенной экономики, ее влияние на производительность труда и социальные и трудовые гарантии работников. После сессии участники дискуссии посетили стенды передовых промышленных предприятий страны и представителей регионов России.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17 сентября на полях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Pr="00114749">
        <w:rPr>
          <w:rFonts w:ascii="Times New Roman" w:hAnsi="Times New Roman" w:cs="Times New Roman"/>
          <w:sz w:val="24"/>
          <w:szCs w:val="24"/>
        </w:rPr>
        <w:t xml:space="preserve"> эксперты обсуждали внедрение модели клиентоцентричности в федеральных учреждениях медико-социальной экспертизы в рамках реализации мероприятий федерального проекта «Государство для людей». Кроме того, спикеры обсудили инструменты, которые помогают работодателям снизить напряженность на рынке труда, повысить производительность и продлить трудовое долголетие своих сотрудников.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>Заключительный день деловой программы был посвящен вопросам разработки нормативно-правовых актов, поиску, подбору и обучению кадров, а также влиянию профсоюзных инициатив на достижение нулевого травматизма.</w:t>
      </w:r>
    </w:p>
    <w:p w:rsidR="00114749" w:rsidRPr="00114749" w:rsidRDefault="00114749" w:rsidP="0011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Ключевым международным событием деловой программы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14749">
        <w:rPr>
          <w:rFonts w:ascii="Times New Roman" w:hAnsi="Times New Roman" w:cs="Times New Roman"/>
          <w:sz w:val="24"/>
          <w:szCs w:val="24"/>
        </w:rPr>
        <w:t xml:space="preserve">орума стало первое заседание Сети стран БРИКС по охране труда, в котором приняли участие представители Бразилии, России, Индии, Китая, ЮАР, Египта, Ирана, ОАЭ, Эфиопии и Индонезии. На мероприятии обсудили сближение национальных стандартов в сфере охраны труда, внедрение инноваций и адаптацию передовых технологий и практик в сфере охраны труда. </w:t>
      </w:r>
    </w:p>
    <w:p w:rsidR="00114749" w:rsidRDefault="00114749" w:rsidP="0011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Также на полях </w:t>
      </w:r>
      <w:r w:rsidR="0090340D">
        <w:rPr>
          <w:rFonts w:ascii="Times New Roman" w:hAnsi="Times New Roman" w:cs="Times New Roman"/>
          <w:sz w:val="24"/>
          <w:szCs w:val="24"/>
        </w:rPr>
        <w:t>Ф</w:t>
      </w:r>
      <w:r w:rsidRPr="00114749">
        <w:rPr>
          <w:rFonts w:ascii="Times New Roman" w:hAnsi="Times New Roman" w:cs="Times New Roman"/>
          <w:sz w:val="24"/>
          <w:szCs w:val="24"/>
        </w:rPr>
        <w:t xml:space="preserve">орума прошла встреча Министра труда и социальной защиты Российской Федерации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Антона Котякова</w:t>
      </w:r>
      <w:r w:rsidRPr="00114749">
        <w:rPr>
          <w:rFonts w:ascii="Times New Roman" w:hAnsi="Times New Roman" w:cs="Times New Roman"/>
          <w:sz w:val="24"/>
          <w:szCs w:val="24"/>
        </w:rPr>
        <w:t xml:space="preserve"> и Министра труда и социальных дел Республики Ирак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Ахмеда Аль-Асади</w:t>
      </w:r>
      <w:r w:rsidRPr="00114749">
        <w:rPr>
          <w:rFonts w:ascii="Times New Roman" w:hAnsi="Times New Roman" w:cs="Times New Roman"/>
          <w:sz w:val="24"/>
          <w:szCs w:val="24"/>
        </w:rPr>
        <w:t>, по итогам которой был подписан Меморандум о сотрудничестве в сфере труда и социального обеспечения между двумя странами.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В рамках международного трека ВНОТ состоялись Конференция Евро-Азиатского Регионального альянса инспекций труда, Совместное заседание коллегий Министерства труда и социальной защиты Российской Федерации и Министерства труда и социальной </w:t>
      </w:r>
      <w:r w:rsidRPr="00114749">
        <w:rPr>
          <w:rFonts w:ascii="Times New Roman" w:hAnsi="Times New Roman" w:cs="Times New Roman"/>
          <w:sz w:val="24"/>
          <w:szCs w:val="24"/>
        </w:rPr>
        <w:lastRenderedPageBreak/>
        <w:t>защиты Республики Беларусь, а также круглый стол «Совершенствование трудового законодательства Евразийского экономического союза мониторинга применения в странах Евразийского экономического союза технических регламентов Таможенного союза».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Министр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Антон Котяков</w:t>
      </w:r>
      <w:r w:rsidRPr="00114749">
        <w:rPr>
          <w:rFonts w:ascii="Times New Roman" w:hAnsi="Times New Roman" w:cs="Times New Roman"/>
          <w:sz w:val="24"/>
          <w:szCs w:val="24"/>
        </w:rPr>
        <w:t xml:space="preserve"> наградил победителей Всероссийских конкурсов в области охраны труда. В 2025 году на участие в них было подано более 1100 заявок, среди участников – 773 специалиста, 34 органа исполнительной власти и 336 организаций, в которых занято более 200 тысяч работников. Дипломами победителей и призеров были награждены 42 финалиста.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 xml:space="preserve">Также состоялась церемония торжественного награждения финалистов Всероссийского конкурса профессионального мастерства в сфере социального обслуживания. Награды 55 победителям из 36 регионов вручили глава Минтруда России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Антон Котяков</w:t>
      </w:r>
      <w:r w:rsidRPr="00114749">
        <w:rPr>
          <w:rFonts w:ascii="Times New Roman" w:hAnsi="Times New Roman" w:cs="Times New Roman"/>
          <w:sz w:val="24"/>
          <w:szCs w:val="24"/>
        </w:rPr>
        <w:t xml:space="preserve"> и первый заместитель Министра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Ольга Баталина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>Впервые на ВНОТ состоялись мероприятия в рамках тематической Программы малого и среднего предпринимательства – масштабный прикладной трек, полностью посвященный вопросам охраны труда на малых и средних предприятиях. Каждый участник, посетивший сессии трека и прошедший тестирование, получил удостоверение о повышении квалификации.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>Спортивная программа включала традиционный Забег на Кубок Росконгресса, который прошел в самом сердце Олимпийского парка – возле Олимпийского огня. Участники ВНОТ-2025, жители и гости Сириуса, пришедшие к финишу</w:t>
      </w:r>
      <w:r w:rsidR="0090340D">
        <w:rPr>
          <w:rFonts w:ascii="Times New Roman" w:hAnsi="Times New Roman" w:cs="Times New Roman"/>
          <w:sz w:val="24"/>
          <w:szCs w:val="24"/>
        </w:rPr>
        <w:t>,</w:t>
      </w:r>
      <w:r w:rsidRPr="00114749">
        <w:rPr>
          <w:rFonts w:ascii="Times New Roman" w:hAnsi="Times New Roman" w:cs="Times New Roman"/>
          <w:sz w:val="24"/>
          <w:szCs w:val="24"/>
        </w:rPr>
        <w:t xml:space="preserve"> получили памятные медали. В Гостиной интеллектуального спорта прошел Кубок Росконгресса по шашкам, игре в го и шахматам, а также сеанс одновременной игры в шахматы с двукратным чемпионом Европы в составе сборной России </w:t>
      </w:r>
      <w:r w:rsidRPr="00114749">
        <w:rPr>
          <w:rFonts w:ascii="Times New Roman" w:hAnsi="Times New Roman" w:cs="Times New Roman"/>
          <w:b/>
          <w:bCs/>
          <w:sz w:val="24"/>
          <w:szCs w:val="24"/>
        </w:rPr>
        <w:t>Мираном Оганьяном</w:t>
      </w:r>
      <w:r w:rsidRPr="00114749">
        <w:rPr>
          <w:rFonts w:ascii="Times New Roman" w:hAnsi="Times New Roman" w:cs="Times New Roman"/>
          <w:sz w:val="24"/>
          <w:szCs w:val="24"/>
        </w:rPr>
        <w:t>.</w:t>
      </w:r>
    </w:p>
    <w:p w:rsidR="00114749" w:rsidRDefault="0011474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49">
        <w:rPr>
          <w:rFonts w:ascii="Times New Roman" w:hAnsi="Times New Roman" w:cs="Times New Roman"/>
          <w:sz w:val="24"/>
          <w:szCs w:val="24"/>
        </w:rPr>
        <w:t>В рамках ВНОТ-2025 работала масштабная выставка современных технических средств обеспечения безопасности на производстве, сохранения здоровья работников и цифровых решений в области безопасности труда и работы с персоналом. На площади 25 000 кв м свои стенды разместили более 150 компаний-экспонентов. Лучшие экспоненты выставки были награждены дипломами.</w:t>
      </w:r>
    </w:p>
    <w:p w:rsidR="003D1FD9" w:rsidRPr="00187559" w:rsidRDefault="003D1FD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На полях ВНОТ состоялись следующие мероприятия: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Выездное совместное заседание Общественного совета Минтруда России и Общественного совета Роструда;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Совещания Роструда с государственными инспекциями труда в регионах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Заседание совместной профильной комиссии ФМБА России по направлениям: «профпатология» и «промышленная медицина»;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Выездное заседание членов НАОТ;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ГК «Росатом» «Отраслевая научно-практическая конференция по охране труда» 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Итоги работы Государственных инспекций труда по основным направлениям деятельности и планы работы.</w:t>
      </w:r>
    </w:p>
    <w:p w:rsidR="003D1FD9" w:rsidRPr="00187559" w:rsidRDefault="003D1FD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 xml:space="preserve">В рамках работы ВНОТ-2025 были подписаны следующие документы: 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9112159"/>
      <w:r w:rsidRPr="00187559">
        <w:rPr>
          <w:rFonts w:ascii="Times New Roman" w:hAnsi="Times New Roman" w:cs="Times New Roman"/>
          <w:sz w:val="24"/>
          <w:szCs w:val="24"/>
        </w:rPr>
        <w:t>Меморандум о сотрудничестве в сфере труда и социального обеспечения между Министерством труда и социальной защиты Российской Федерации и Министерством труда и социальных дел Республики Ирак;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Соглашение о взаимодействии между Министерством семьи, труда и социальной защиты населения Республики Башкортостан и Министерством труда и социальной политики Луганской Народной Республики;</w:t>
      </w:r>
    </w:p>
    <w:p w:rsidR="003D1FD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Соглашение о взаимодействии между Министерством семьи, труда и социальной защиты населения Республики Башкортостан и Министерством труда и социальной защиты Херсонской области;</w:t>
      </w:r>
    </w:p>
    <w:p w:rsidR="00D76B43" w:rsidRPr="00187559" w:rsidRDefault="00D76B43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6B43">
        <w:rPr>
          <w:rFonts w:ascii="Times New Roman" w:hAnsi="Times New Roman" w:cs="Times New Roman"/>
          <w:sz w:val="24"/>
          <w:szCs w:val="24"/>
        </w:rPr>
        <w:t>Соглашение о сотрудничестве между ФГБУ «Федеральный научно-клинический центр медицинской реабилитации и курортологии Федерального медико-биологического агентства» и АО «Особая экономическая зона технико-внедренческого типа «Дубна»;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министерством труда и занятости Иркутской области и Ассоциацией «Национальная ассоциация охраны труда»; </w:t>
      </w:r>
    </w:p>
    <w:p w:rsidR="00917365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Департаментом труда и социальной защиты населения города Севастополя и Ассоциацией «Национальная ассоциация охраны труда» 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Меморандум о намерениях между ООО «Производственная безопасность и экология» и ООО «КВАЗАР»;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 xml:space="preserve">Партнерский договор между ООО «Производственная безопасность и экология» и ООО «ТЕРМИКА»; </w:t>
      </w:r>
    </w:p>
    <w:p w:rsidR="003D1FD9" w:rsidRPr="00187559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Соглашение о сотрудничестве между Департаментом труда и занятости населения Тюменской области и Ассоциацией «Национальная ассоциация охраны труда»;</w:t>
      </w:r>
    </w:p>
    <w:p w:rsidR="003D1FD9" w:rsidRPr="00D76B43" w:rsidRDefault="003D1FD9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t>Соглашение о сотрудничестве между ПАО «Юнипро» и Ассоциацией «Национальная ассоциация охраны труда»</w:t>
      </w:r>
      <w:r w:rsidR="00D76B43" w:rsidRPr="00D76B43">
        <w:rPr>
          <w:rFonts w:ascii="Times New Roman" w:hAnsi="Times New Roman" w:cs="Times New Roman"/>
          <w:sz w:val="24"/>
          <w:szCs w:val="24"/>
        </w:rPr>
        <w:t>;</w:t>
      </w:r>
    </w:p>
    <w:p w:rsidR="00D76B43" w:rsidRPr="00187559" w:rsidRDefault="00D76B43" w:rsidP="003D1FD9">
      <w:pPr>
        <w:pStyle w:val="a8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6B43">
        <w:rPr>
          <w:rFonts w:ascii="Times New Roman" w:hAnsi="Times New Roman" w:cs="Times New Roman"/>
          <w:sz w:val="24"/>
          <w:szCs w:val="24"/>
        </w:rPr>
        <w:t>Соглашение о сотрудничестве для создания современной системы обучения в области производственной безопасности между ООО «Оператор Газпром ИД» и ООО «Смарта»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3D1FD9" w:rsidRDefault="003D1FD9" w:rsidP="003D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559">
        <w:rPr>
          <w:rFonts w:ascii="Times New Roman" w:hAnsi="Times New Roman" w:cs="Times New Roman"/>
          <w:sz w:val="24"/>
          <w:szCs w:val="24"/>
        </w:rPr>
        <w:lastRenderedPageBreak/>
        <w:t xml:space="preserve">X Всероссийская неделя охраны труда проходила с 15 по 18 сентября в университете «Сириус». Организатором Всероссийской недели охраны труда выступает Министерство труда и социальной защиты Российской Федерации. Оргкомитет ВНОТ возглавляет заместитель Председателя Правительства Российской Федерации </w:t>
      </w:r>
      <w:r w:rsidRPr="00CB024B">
        <w:rPr>
          <w:rFonts w:ascii="Times New Roman" w:hAnsi="Times New Roman" w:cs="Times New Roman"/>
          <w:b/>
          <w:bCs/>
          <w:sz w:val="24"/>
          <w:szCs w:val="24"/>
        </w:rPr>
        <w:t>Татьяна Голикова</w:t>
      </w:r>
      <w:r w:rsidRPr="00187559">
        <w:rPr>
          <w:rFonts w:ascii="Times New Roman" w:hAnsi="Times New Roman" w:cs="Times New Roman"/>
          <w:sz w:val="24"/>
          <w:szCs w:val="24"/>
        </w:rPr>
        <w:t>. Оператор мероприятия – Фонд Росконгресс.</w:t>
      </w:r>
    </w:p>
    <w:p w:rsidR="003D1FD9" w:rsidRDefault="003D1FD9" w:rsidP="003D1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Титульный партнер –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ГК «Росатом»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Официальный спонсор –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ПАО «Газпром»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Стратегические партнеры: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ПАО «Россети», ГК «Ростех», АО «НПO «Высокоточные комплексы», АО «Конструкторское бюро приборостроения им. академика А.Г. Шипунова»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Партнеры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: ПАО «Газпром нефть», ГК «Восток-Сервис», ООО «СУЭК», ФГБОУ ДПО «Институт развития профессионального образования», ФГБУ "ВНИИ труда" Минтруда России, ФГАОУ ВО «Национальный исследовательский Томский государственный университет» (ТГУ), ФГБОУ ВО «Российская академия народного хозяйства и государственной службы при Президенте Российской Федерации». 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Коммуникационный партнер –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ООО «Маер Групп»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Партнеры деловой программы: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Ассоциация медицинских специалистов по модификации рисков, ПАО «ВТБ», АО «Московское протезно-ортопедическое предприятие», ООО «Нобилис», ООО «Производственная безопасность и экология», АО «Русал», АО «ТМХ»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Партнеры по организации: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ООО «Агрофирма «Южная», ООО «Кубань-Вино», ООО «РТК – Лаборатория здоровья»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Партнер Молодежного дня –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ПАО Сбербанк, Фонд Мельниченко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Партнер VIP Lounge –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ПАО «ЛУКОЙЛ»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Партнер социальных инициатив –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EcoStandardgroup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Партнеры выставки: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ООО «Бреалит», ООО «СМС-информационные технологии», ООО «АльфаТренинг»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 xml:space="preserve">Партнер Торжественного приема -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Отель ManteraSupremeSeaside</w:t>
      </w: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Партнер забега – 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>ОАО «Суксунский оптико-механический завод»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Официальные поставщики: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«ЛеТа», Группа компаний «Холдинг Аква», АО «ГК «Черноголовка» </w:t>
      </w:r>
    </w:p>
    <w:p w:rsidR="003D1FD9" w:rsidRPr="00CB024B" w:rsidRDefault="003D1FD9" w:rsidP="003D1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CB024B">
        <w:rPr>
          <w:rFonts w:ascii="Times New Roman" w:eastAsia="Times New Roman" w:hAnsi="Times New Roman" w:cs="Times New Roman"/>
          <w:b/>
          <w:sz w:val="20"/>
          <w:szCs w:val="20"/>
        </w:rPr>
        <w:t>Партнер волонтерской программы –</w:t>
      </w:r>
      <w:r w:rsidRPr="00CB024B">
        <w:rPr>
          <w:rFonts w:ascii="Times New Roman" w:eastAsia="Times New Roman" w:hAnsi="Times New Roman" w:cs="Times New Roman"/>
          <w:sz w:val="20"/>
          <w:szCs w:val="20"/>
        </w:rPr>
        <w:t xml:space="preserve"> ФГБОУ ВО «Сочинский государственный университет»</w:t>
      </w:r>
    </w:p>
    <w:p w:rsidR="00480F55" w:rsidRPr="00E117CB" w:rsidRDefault="00821741" w:rsidP="00497BB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1741">
        <w:rPr>
          <w:rFonts w:ascii="Times New Roman" w:hAnsi="Times New Roman" w:cs="Times New Roman"/>
          <w:noProof/>
          <w:sz w:val="24"/>
          <w:szCs w:val="24"/>
        </w:rPr>
        <w:t> </w:t>
      </w:r>
    </w:p>
    <w:sectPr w:rsidR="00480F55" w:rsidRPr="00E117CB" w:rsidSect="00E44D38">
      <w:headerReference w:type="default" r:id="rId7"/>
      <w:footerReference w:type="default" r:id="rId8"/>
      <w:pgSz w:w="11906" w:h="16838"/>
      <w:pgMar w:top="1134" w:right="850" w:bottom="1134" w:left="1701" w:header="708" w:footer="3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94" w:rsidRDefault="002B0694" w:rsidP="00D25AB9">
      <w:pPr>
        <w:spacing w:after="0" w:line="240" w:lineRule="auto"/>
      </w:pPr>
      <w:r>
        <w:separator/>
      </w:r>
    </w:p>
  </w:endnote>
  <w:endnote w:type="continuationSeparator" w:id="1">
    <w:p w:rsidR="002B0694" w:rsidRDefault="002B0694" w:rsidP="00D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B9" w:rsidRDefault="00D25AB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-29845</wp:posOffset>
          </wp:positionV>
          <wp:extent cx="7553325" cy="2318384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31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94" w:rsidRDefault="002B0694" w:rsidP="00D25AB9">
      <w:pPr>
        <w:spacing w:after="0" w:line="240" w:lineRule="auto"/>
      </w:pPr>
      <w:r>
        <w:separator/>
      </w:r>
    </w:p>
  </w:footnote>
  <w:footnote w:type="continuationSeparator" w:id="1">
    <w:p w:rsidR="002B0694" w:rsidRDefault="002B0694" w:rsidP="00D2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B9" w:rsidRDefault="00D25AB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-441960</wp:posOffset>
          </wp:positionV>
          <wp:extent cx="7572375" cy="202819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02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293"/>
    <w:multiLevelType w:val="hybridMultilevel"/>
    <w:tmpl w:val="A2E6D404"/>
    <w:lvl w:ilvl="0" w:tplc="C044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70462"/>
    <w:multiLevelType w:val="hybridMultilevel"/>
    <w:tmpl w:val="C3DA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F63A4"/>
    <w:multiLevelType w:val="multilevel"/>
    <w:tmpl w:val="C9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F37F6"/>
    <w:multiLevelType w:val="hybridMultilevel"/>
    <w:tmpl w:val="221AA9EA"/>
    <w:lvl w:ilvl="0" w:tplc="C044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0B43"/>
    <w:multiLevelType w:val="hybridMultilevel"/>
    <w:tmpl w:val="7E9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65FD4"/>
    <w:multiLevelType w:val="hybridMultilevel"/>
    <w:tmpl w:val="5922C2EC"/>
    <w:lvl w:ilvl="0" w:tplc="C044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05ED"/>
    <w:multiLevelType w:val="multilevel"/>
    <w:tmpl w:val="2D3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3EA3"/>
    <w:rsid w:val="00003B96"/>
    <w:rsid w:val="00033ACB"/>
    <w:rsid w:val="00037327"/>
    <w:rsid w:val="000A1540"/>
    <w:rsid w:val="000A38BA"/>
    <w:rsid w:val="000D1C12"/>
    <w:rsid w:val="00105692"/>
    <w:rsid w:val="00114749"/>
    <w:rsid w:val="0012073B"/>
    <w:rsid w:val="001222C6"/>
    <w:rsid w:val="001972F1"/>
    <w:rsid w:val="001A1C92"/>
    <w:rsid w:val="002034A5"/>
    <w:rsid w:val="002B0694"/>
    <w:rsid w:val="002C1C50"/>
    <w:rsid w:val="003152DC"/>
    <w:rsid w:val="003266A8"/>
    <w:rsid w:val="003A2E0F"/>
    <w:rsid w:val="003B5DA7"/>
    <w:rsid w:val="003D1FD9"/>
    <w:rsid w:val="00423EA3"/>
    <w:rsid w:val="00480F55"/>
    <w:rsid w:val="00497BB6"/>
    <w:rsid w:val="004D1A18"/>
    <w:rsid w:val="004D28C4"/>
    <w:rsid w:val="00500AB4"/>
    <w:rsid w:val="00581011"/>
    <w:rsid w:val="00685C22"/>
    <w:rsid w:val="006C2D32"/>
    <w:rsid w:val="00704664"/>
    <w:rsid w:val="007242CD"/>
    <w:rsid w:val="0079059A"/>
    <w:rsid w:val="007934A6"/>
    <w:rsid w:val="00794DD6"/>
    <w:rsid w:val="007A4DA5"/>
    <w:rsid w:val="007B51E8"/>
    <w:rsid w:val="007D3A9F"/>
    <w:rsid w:val="007F6D63"/>
    <w:rsid w:val="00815D23"/>
    <w:rsid w:val="00821741"/>
    <w:rsid w:val="00854190"/>
    <w:rsid w:val="008A30F6"/>
    <w:rsid w:val="008D2ACB"/>
    <w:rsid w:val="0090340D"/>
    <w:rsid w:val="00917365"/>
    <w:rsid w:val="00920606"/>
    <w:rsid w:val="00935329"/>
    <w:rsid w:val="00943BD7"/>
    <w:rsid w:val="00945238"/>
    <w:rsid w:val="009630E4"/>
    <w:rsid w:val="009821C5"/>
    <w:rsid w:val="009D7415"/>
    <w:rsid w:val="009F20B2"/>
    <w:rsid w:val="009F409D"/>
    <w:rsid w:val="00A540E1"/>
    <w:rsid w:val="00A84B9B"/>
    <w:rsid w:val="00AB01C2"/>
    <w:rsid w:val="00AE194B"/>
    <w:rsid w:val="00AF4826"/>
    <w:rsid w:val="00B01754"/>
    <w:rsid w:val="00B21B9B"/>
    <w:rsid w:val="00B3412F"/>
    <w:rsid w:val="00BA1EA1"/>
    <w:rsid w:val="00BD0AD0"/>
    <w:rsid w:val="00BD157A"/>
    <w:rsid w:val="00C00269"/>
    <w:rsid w:val="00C60BAB"/>
    <w:rsid w:val="00C63BB4"/>
    <w:rsid w:val="00CB024B"/>
    <w:rsid w:val="00CB589F"/>
    <w:rsid w:val="00CB5D5F"/>
    <w:rsid w:val="00D25AB9"/>
    <w:rsid w:val="00D504E2"/>
    <w:rsid w:val="00D53DB3"/>
    <w:rsid w:val="00D76B43"/>
    <w:rsid w:val="00DB42C1"/>
    <w:rsid w:val="00DC0B50"/>
    <w:rsid w:val="00E044B5"/>
    <w:rsid w:val="00E117CB"/>
    <w:rsid w:val="00E44D38"/>
    <w:rsid w:val="00E839DA"/>
    <w:rsid w:val="00E9055F"/>
    <w:rsid w:val="00EB3401"/>
    <w:rsid w:val="00F22C29"/>
    <w:rsid w:val="00F32C28"/>
    <w:rsid w:val="00F42AB2"/>
    <w:rsid w:val="00F96102"/>
    <w:rsid w:val="00FB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AB9"/>
  </w:style>
  <w:style w:type="paragraph" w:styleId="a5">
    <w:name w:val="footer"/>
    <w:basedOn w:val="a"/>
    <w:link w:val="a6"/>
    <w:uiPriority w:val="99"/>
    <w:unhideWhenUsed/>
    <w:rsid w:val="00D2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AB9"/>
  </w:style>
  <w:style w:type="character" w:styleId="a7">
    <w:name w:val="Hyperlink"/>
    <w:basedOn w:val="a0"/>
    <w:uiPriority w:val="99"/>
    <w:unhideWhenUsed/>
    <w:rsid w:val="00D504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4E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21741"/>
    <w:pPr>
      <w:ind w:left="720"/>
      <w:contextualSpacing/>
    </w:pPr>
  </w:style>
  <w:style w:type="paragraph" w:styleId="a9">
    <w:name w:val="Body Text"/>
    <w:basedOn w:val="a"/>
    <w:link w:val="aa"/>
    <w:rsid w:val="007B51E8"/>
    <w:pPr>
      <w:spacing w:after="140" w:line="276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7B51E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Александра</dc:creator>
  <cp:lastModifiedBy>Начтруда</cp:lastModifiedBy>
  <cp:revision>2</cp:revision>
  <dcterms:created xsi:type="dcterms:W3CDTF">2025-09-22T09:41:00Z</dcterms:created>
  <dcterms:modified xsi:type="dcterms:W3CDTF">2025-09-22T09:41:00Z</dcterms:modified>
</cp:coreProperties>
</file>