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A3" w:rsidRPr="003623A3" w:rsidRDefault="003623A3" w:rsidP="003623A3">
      <w:pPr>
        <w:spacing w:line="312" w:lineRule="atLeast"/>
        <w:outlineLvl w:val="0"/>
        <w:rPr>
          <w:rFonts w:ascii="Segoe UI" w:eastAsia="Times New Roman" w:hAnsi="Segoe UI" w:cs="Segoe UI"/>
          <w:b/>
          <w:bCs/>
          <w:color w:val="0D49A0"/>
          <w:kern w:val="36"/>
          <w:sz w:val="48"/>
          <w:szCs w:val="48"/>
        </w:rPr>
      </w:pPr>
      <w:r w:rsidRPr="003623A3">
        <w:rPr>
          <w:rFonts w:ascii="Segoe UI" w:eastAsia="Times New Roman" w:hAnsi="Segoe UI" w:cs="Segoe UI"/>
          <w:b/>
          <w:bCs/>
          <w:color w:val="0D49A0"/>
          <w:kern w:val="36"/>
          <w:sz w:val="48"/>
          <w:szCs w:val="48"/>
        </w:rPr>
        <w:t>Правила исчисления размера среднего заработка по последнему месту работы (службы) для начисления пособия по безработице</w:t>
      </w:r>
    </w:p>
    <w:p w:rsidR="003623A3" w:rsidRPr="003623A3" w:rsidRDefault="003623A3" w:rsidP="003623A3">
      <w:pPr>
        <w:spacing w:line="312" w:lineRule="atLeast"/>
        <w:outlineLvl w:val="1"/>
        <w:rPr>
          <w:rFonts w:ascii="var(--body-font-family)" w:eastAsia="Times New Roman" w:hAnsi="var(--body-font-family)" w:cs="Segoe UI"/>
          <w:caps/>
          <w:color w:val="0D49A0"/>
          <w:sz w:val="36"/>
          <w:szCs w:val="36"/>
        </w:rPr>
      </w:pPr>
      <w:hyperlink r:id="rId5" w:history="1">
        <w:r w:rsidRPr="003623A3">
          <w:rPr>
            <w:rFonts w:ascii="var(--body-font-family)" w:eastAsia="Times New Roman" w:hAnsi="var(--body-font-family)" w:cs="Segoe UI"/>
            <w:caps/>
            <w:color w:val="0000FF"/>
            <w:sz w:val="36"/>
            <w:szCs w:val="36"/>
          </w:rPr>
          <w:t>ПРАВИЛА ИСЧИСЛЕНИЯ РАЗМЕРА СРЕДНЕГО ЗАРАБОТКА ПО ПОСЛЕДНЕМУ МЕСТУ РАБОТЫ (СЛУЖБЫ) ДЛЯ НАЧИСЛЕНИЯ ПОСОБИЯ ПО БЕЗРАБОТИЦЕ</w:t>
        </w:r>
      </w:hyperlink>
    </w:p>
    <w:p w:rsidR="003623A3" w:rsidRPr="003623A3" w:rsidRDefault="003623A3" w:rsidP="003623A3">
      <w:pPr>
        <w:spacing w:after="167" w:line="240" w:lineRule="auto"/>
        <w:jc w:val="both"/>
        <w:rPr>
          <w:rFonts w:ascii="Segoe UI" w:eastAsia="Times New Roman" w:hAnsi="Segoe UI" w:cs="Segoe UI"/>
          <w:color w:val="0D49A0"/>
          <w:sz w:val="27"/>
          <w:szCs w:val="27"/>
        </w:rPr>
      </w:pP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t>Правила исчисления утверждены </w:t>
      </w:r>
      <w:hyperlink r:id="rId6" w:history="1">
        <w:r w:rsidRPr="003623A3">
          <w:rPr>
            <w:rFonts w:ascii="Segoe UI" w:eastAsia="Times New Roman" w:hAnsi="Segoe UI" w:cs="Segoe UI"/>
            <w:color w:val="0000FF"/>
            <w:sz w:val="27"/>
            <w:u w:val="single"/>
          </w:rPr>
          <w:t>Приказом Министерства труда и социальной защиты Российской Федерации от 13.02.2024 № 57н "Об утверждении Порядка исчисления среднего заработка для начисления пособия по безработице".</w:t>
        </w:r>
      </w:hyperlink>
    </w:p>
    <w:p w:rsidR="003623A3" w:rsidRPr="003623A3" w:rsidRDefault="003623A3" w:rsidP="003623A3">
      <w:pPr>
        <w:spacing w:after="167" w:line="240" w:lineRule="auto"/>
        <w:jc w:val="both"/>
        <w:rPr>
          <w:rFonts w:ascii="Segoe UI" w:eastAsia="Times New Roman" w:hAnsi="Segoe UI" w:cs="Segoe UI"/>
          <w:color w:val="0D49A0"/>
          <w:sz w:val="27"/>
          <w:szCs w:val="27"/>
        </w:rPr>
      </w:pPr>
      <w:r w:rsidRPr="003623A3">
        <w:rPr>
          <w:rFonts w:ascii="Segoe UI" w:eastAsia="Times New Roman" w:hAnsi="Segoe UI" w:cs="Segoe UI"/>
          <w:b/>
          <w:bCs/>
          <w:color w:val="0D49A0"/>
          <w:sz w:val="27"/>
        </w:rPr>
        <w:t>В общем случае средний заработок</w:t>
      </w: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t> в целях, предусмотренных Законом РФ от 19.04.1991 № 1032 «О занятости населения в Российской Федерации», </w:t>
      </w:r>
      <w:r w:rsidRPr="003623A3">
        <w:rPr>
          <w:rFonts w:ascii="Segoe UI" w:eastAsia="Times New Roman" w:hAnsi="Segoe UI" w:cs="Segoe UI"/>
          <w:b/>
          <w:bCs/>
          <w:color w:val="0D49A0"/>
          <w:sz w:val="27"/>
        </w:rPr>
        <w:t>органы службы занятости исчисляют самостоятельно</w:t>
      </w: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t> на основе сведений о выплатах и иных вознаграждениях по последнему месту работы (службы). Эти данные запрашиваются в рамках межведомственного информационного взаимодействия.</w:t>
      </w:r>
    </w:p>
    <w:p w:rsidR="003623A3" w:rsidRPr="003623A3" w:rsidRDefault="003623A3" w:rsidP="003623A3">
      <w:pPr>
        <w:spacing w:after="167" w:line="240" w:lineRule="auto"/>
        <w:jc w:val="both"/>
        <w:rPr>
          <w:rFonts w:ascii="Segoe UI" w:eastAsia="Times New Roman" w:hAnsi="Segoe UI" w:cs="Segoe UI"/>
          <w:color w:val="0D49A0"/>
          <w:sz w:val="27"/>
          <w:szCs w:val="27"/>
        </w:rPr>
      </w:pPr>
      <w:r w:rsidRPr="003623A3">
        <w:rPr>
          <w:rFonts w:ascii="Segoe UI" w:eastAsia="Times New Roman" w:hAnsi="Segoe UI" w:cs="Segoe UI"/>
          <w:b/>
          <w:bCs/>
          <w:color w:val="0D49A0"/>
          <w:sz w:val="27"/>
        </w:rPr>
        <w:t>В исключительных ситуациях средний заработок исчисляет работодатель, и гражданин представляет в органы службы занятости соответствующую справку.</w:t>
      </w: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t> К ним относятся случаи, когда:</w:t>
      </w:r>
    </w:p>
    <w:p w:rsidR="003623A3" w:rsidRPr="003623A3" w:rsidRDefault="003623A3" w:rsidP="003623A3">
      <w:pPr>
        <w:numPr>
          <w:ilvl w:val="0"/>
          <w:numId w:val="1"/>
        </w:numPr>
        <w:spacing w:after="167" w:line="240" w:lineRule="auto"/>
        <w:ind w:left="837"/>
        <w:jc w:val="both"/>
        <w:rPr>
          <w:rFonts w:ascii="Segoe UI" w:eastAsia="Times New Roman" w:hAnsi="Segoe UI" w:cs="Segoe UI"/>
          <w:color w:val="0D49A0"/>
          <w:sz w:val="27"/>
          <w:szCs w:val="27"/>
        </w:rPr>
      </w:pP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t>гражданин находился в отпуске по беременности и родам и (или) в отпуске по уходу за ребенком в течение 12 календарных месяцев, предшествовавших месяцу увольнения;</w:t>
      </w:r>
    </w:p>
    <w:p w:rsidR="003623A3" w:rsidRPr="003623A3" w:rsidRDefault="003623A3" w:rsidP="003623A3">
      <w:pPr>
        <w:numPr>
          <w:ilvl w:val="0"/>
          <w:numId w:val="1"/>
        </w:numPr>
        <w:spacing w:after="167" w:line="240" w:lineRule="auto"/>
        <w:ind w:left="837"/>
        <w:jc w:val="both"/>
        <w:rPr>
          <w:rFonts w:ascii="Segoe UI" w:eastAsia="Times New Roman" w:hAnsi="Segoe UI" w:cs="Segoe UI"/>
          <w:color w:val="0D49A0"/>
          <w:sz w:val="27"/>
          <w:szCs w:val="27"/>
        </w:rPr>
      </w:pP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t>у гражданина отсутствовал доход (сведения о доходе) или хотя бы один полностью отработанный календарный месяц в пределах 12 календарных месяцев, предшествовавших месяцу увольнения;</w:t>
      </w:r>
    </w:p>
    <w:p w:rsidR="003623A3" w:rsidRPr="003623A3" w:rsidRDefault="003623A3" w:rsidP="003623A3">
      <w:pPr>
        <w:numPr>
          <w:ilvl w:val="0"/>
          <w:numId w:val="1"/>
        </w:numPr>
        <w:spacing w:after="167" w:line="240" w:lineRule="auto"/>
        <w:ind w:left="837"/>
        <w:jc w:val="both"/>
        <w:rPr>
          <w:rFonts w:ascii="Segoe UI" w:eastAsia="Times New Roman" w:hAnsi="Segoe UI" w:cs="Segoe UI"/>
          <w:color w:val="0D49A0"/>
          <w:sz w:val="27"/>
          <w:szCs w:val="27"/>
        </w:rPr>
      </w:pP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t>гражданин уволен с военной службы по призыву;</w:t>
      </w:r>
    </w:p>
    <w:p w:rsidR="003623A3" w:rsidRPr="003623A3" w:rsidRDefault="003623A3" w:rsidP="003623A3">
      <w:pPr>
        <w:numPr>
          <w:ilvl w:val="0"/>
          <w:numId w:val="1"/>
        </w:numPr>
        <w:spacing w:after="167" w:line="240" w:lineRule="auto"/>
        <w:ind w:left="837"/>
        <w:jc w:val="both"/>
        <w:rPr>
          <w:rFonts w:ascii="Segoe UI" w:eastAsia="Times New Roman" w:hAnsi="Segoe UI" w:cs="Segoe UI"/>
          <w:color w:val="0D49A0"/>
          <w:sz w:val="27"/>
          <w:szCs w:val="27"/>
        </w:rPr>
      </w:pP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t xml:space="preserve">гражданин уволен из международной организации (ее представительства), осуществляющей деятельность на территории Российской Федерации, на основании положений международных договоров, предусматривающих освобождение </w:t>
      </w: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lastRenderedPageBreak/>
        <w:t>должностных лиц и сотрудников указанной международной организации от уплаты налогов на заработную плату или иное вознаграждение;</w:t>
      </w:r>
    </w:p>
    <w:p w:rsidR="003623A3" w:rsidRPr="003623A3" w:rsidRDefault="003623A3" w:rsidP="003623A3">
      <w:pPr>
        <w:numPr>
          <w:ilvl w:val="0"/>
          <w:numId w:val="1"/>
        </w:numPr>
        <w:spacing w:after="167" w:line="240" w:lineRule="auto"/>
        <w:ind w:left="837"/>
        <w:jc w:val="both"/>
        <w:rPr>
          <w:rFonts w:ascii="Segoe UI" w:eastAsia="Times New Roman" w:hAnsi="Segoe UI" w:cs="Segoe UI"/>
          <w:color w:val="0D49A0"/>
          <w:sz w:val="27"/>
          <w:szCs w:val="27"/>
        </w:rPr>
      </w:pP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t>оплата труда гражданина осуществлялась в иностранной валюте, получаемой от финансируемых из федерального бюджета государственных учреждений или организаций, направивших его на работу за границу, в случае отсутствия сведений о доходе в соответствии с пунктом 3 Правил.</w:t>
      </w:r>
    </w:p>
    <w:p w:rsidR="003623A3" w:rsidRPr="003623A3" w:rsidRDefault="003623A3" w:rsidP="003623A3">
      <w:pPr>
        <w:spacing w:after="167" w:line="240" w:lineRule="auto"/>
        <w:jc w:val="both"/>
        <w:rPr>
          <w:rFonts w:ascii="Segoe UI" w:eastAsia="Times New Roman" w:hAnsi="Segoe UI" w:cs="Segoe UI"/>
          <w:color w:val="0D49A0"/>
          <w:sz w:val="27"/>
          <w:szCs w:val="27"/>
        </w:rPr>
      </w:pPr>
      <w:hyperlink r:id="rId7" w:history="1">
        <w:r w:rsidRPr="003623A3">
          <w:rPr>
            <w:rFonts w:ascii="Segoe UI" w:eastAsia="Times New Roman" w:hAnsi="Segoe UI" w:cs="Segoe UI"/>
            <w:color w:val="0000FF"/>
            <w:sz w:val="27"/>
            <w:u w:val="single"/>
          </w:rPr>
          <w:t>Форма справки утверждена приказом Министерства труда и социальной защиты РФ РФ от 27 июля 2023 г. N 604н "Об утверждении формы справки о среднем заработке, исчисленном работодателем" (с изменениями и дополнениями от 27 апреля 2024 года)</w:t>
        </w:r>
      </w:hyperlink>
    </w:p>
    <w:p w:rsidR="003623A3" w:rsidRPr="003623A3" w:rsidRDefault="003623A3" w:rsidP="003623A3">
      <w:pPr>
        <w:spacing w:after="167" w:line="240" w:lineRule="auto"/>
        <w:rPr>
          <w:rFonts w:ascii="Segoe UI" w:eastAsia="Times New Roman" w:hAnsi="Segoe UI" w:cs="Segoe UI"/>
          <w:color w:val="0D49A0"/>
          <w:sz w:val="27"/>
          <w:szCs w:val="27"/>
        </w:rPr>
      </w:pP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t>Важно, чтобы она содержала:</w:t>
      </w:r>
    </w:p>
    <w:p w:rsidR="003623A3" w:rsidRPr="003623A3" w:rsidRDefault="003623A3" w:rsidP="003623A3">
      <w:pPr>
        <w:numPr>
          <w:ilvl w:val="0"/>
          <w:numId w:val="2"/>
        </w:numPr>
        <w:spacing w:after="167" w:line="240" w:lineRule="auto"/>
        <w:ind w:left="837"/>
        <w:rPr>
          <w:rFonts w:ascii="Segoe UI" w:eastAsia="Times New Roman" w:hAnsi="Segoe UI" w:cs="Segoe UI"/>
          <w:color w:val="0D49A0"/>
          <w:sz w:val="27"/>
          <w:szCs w:val="27"/>
        </w:rPr>
      </w:pP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t>полное наименование работодателя, адрес и телефон;</w:t>
      </w:r>
    </w:p>
    <w:p w:rsidR="003623A3" w:rsidRPr="003623A3" w:rsidRDefault="003623A3" w:rsidP="003623A3">
      <w:pPr>
        <w:numPr>
          <w:ilvl w:val="0"/>
          <w:numId w:val="2"/>
        </w:numPr>
        <w:spacing w:after="167" w:line="240" w:lineRule="auto"/>
        <w:ind w:left="837"/>
        <w:rPr>
          <w:rFonts w:ascii="Segoe UI" w:eastAsia="Times New Roman" w:hAnsi="Segoe UI" w:cs="Segoe UI"/>
          <w:color w:val="0D49A0"/>
          <w:sz w:val="27"/>
          <w:szCs w:val="27"/>
        </w:rPr>
      </w:pP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t>подпись руководителя с расшифровкой фамилии;</w:t>
      </w:r>
    </w:p>
    <w:p w:rsidR="003623A3" w:rsidRPr="003623A3" w:rsidRDefault="003623A3" w:rsidP="003623A3">
      <w:pPr>
        <w:numPr>
          <w:ilvl w:val="0"/>
          <w:numId w:val="2"/>
        </w:numPr>
        <w:spacing w:after="167" w:line="240" w:lineRule="auto"/>
        <w:ind w:left="837"/>
        <w:rPr>
          <w:rFonts w:ascii="Segoe UI" w:eastAsia="Times New Roman" w:hAnsi="Segoe UI" w:cs="Segoe UI"/>
          <w:color w:val="0D49A0"/>
          <w:sz w:val="27"/>
          <w:szCs w:val="27"/>
        </w:rPr>
      </w:pP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t>исходящий номер и дату выдачи справки;</w:t>
      </w:r>
    </w:p>
    <w:p w:rsidR="003623A3" w:rsidRPr="003623A3" w:rsidRDefault="003623A3" w:rsidP="003623A3">
      <w:pPr>
        <w:numPr>
          <w:ilvl w:val="0"/>
          <w:numId w:val="2"/>
        </w:numPr>
        <w:spacing w:after="167" w:line="240" w:lineRule="auto"/>
        <w:ind w:left="837"/>
        <w:rPr>
          <w:rFonts w:ascii="Segoe UI" w:eastAsia="Times New Roman" w:hAnsi="Segoe UI" w:cs="Segoe UI"/>
          <w:color w:val="0D49A0"/>
          <w:sz w:val="27"/>
          <w:szCs w:val="27"/>
        </w:rPr>
      </w:pP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t>чёткий оттиск печати (при наличии);</w:t>
      </w:r>
    </w:p>
    <w:p w:rsidR="003623A3" w:rsidRPr="003623A3" w:rsidRDefault="003623A3" w:rsidP="003623A3">
      <w:pPr>
        <w:numPr>
          <w:ilvl w:val="0"/>
          <w:numId w:val="2"/>
        </w:numPr>
        <w:spacing w:after="167" w:line="240" w:lineRule="auto"/>
        <w:ind w:left="837"/>
        <w:rPr>
          <w:rFonts w:ascii="Segoe UI" w:eastAsia="Times New Roman" w:hAnsi="Segoe UI" w:cs="Segoe UI"/>
          <w:color w:val="0D49A0"/>
          <w:sz w:val="27"/>
          <w:szCs w:val="27"/>
        </w:rPr>
      </w:pP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t>размер заработной платы прописью.</w:t>
      </w:r>
    </w:p>
    <w:p w:rsidR="003623A3" w:rsidRPr="003623A3" w:rsidRDefault="003623A3" w:rsidP="003623A3">
      <w:pPr>
        <w:spacing w:after="167" w:line="240" w:lineRule="auto"/>
        <w:rPr>
          <w:rFonts w:ascii="Segoe UI" w:eastAsia="Times New Roman" w:hAnsi="Segoe UI" w:cs="Segoe UI"/>
          <w:color w:val="0D49A0"/>
          <w:sz w:val="27"/>
          <w:szCs w:val="27"/>
        </w:rPr>
      </w:pPr>
      <w:r w:rsidRPr="003623A3">
        <w:rPr>
          <w:rFonts w:ascii="Segoe UI" w:eastAsia="Times New Roman" w:hAnsi="Segoe UI" w:cs="Segoe UI"/>
          <w:color w:val="0D49A0"/>
          <w:sz w:val="27"/>
          <w:szCs w:val="27"/>
        </w:rPr>
        <w:t>Дополнительную информацию вы можете получить по тел</w:t>
      </w:r>
      <w:r>
        <w:rPr>
          <w:rFonts w:ascii="Segoe UI" w:eastAsia="Times New Roman" w:hAnsi="Segoe UI" w:cs="Segoe UI"/>
          <w:color w:val="0D49A0"/>
          <w:sz w:val="27"/>
          <w:szCs w:val="27"/>
        </w:rPr>
        <w:t>ефону 8(48149)4-25-04</w:t>
      </w:r>
    </w:p>
    <w:p w:rsidR="00C10842" w:rsidRDefault="00C10842"/>
    <w:sectPr w:rsidR="00C1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body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5A4D"/>
    <w:multiLevelType w:val="multilevel"/>
    <w:tmpl w:val="0A244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1538E"/>
    <w:multiLevelType w:val="multilevel"/>
    <w:tmpl w:val="462085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623A3"/>
    <w:rsid w:val="003623A3"/>
    <w:rsid w:val="00C1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2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3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623A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623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23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024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197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znrk.ru/images/downloads/spravka_1_20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nrk.ru/images/downloads/post_57n.pdf" TargetMode="External"/><Relationship Id="rId5" Type="http://schemas.openxmlformats.org/officeDocument/2006/relationships/hyperlink" Target="https://cznrk.ru/pravila-ischisleniya-razmera-srednego-zarabot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ЦЗН_бух_1</dc:creator>
  <cp:keywords/>
  <dc:description/>
  <cp:lastModifiedBy>ЦЗН_бух_1</cp:lastModifiedBy>
  <cp:revision>2</cp:revision>
  <dcterms:created xsi:type="dcterms:W3CDTF">2024-10-24T11:57:00Z</dcterms:created>
  <dcterms:modified xsi:type="dcterms:W3CDTF">2024-10-24T11:57:00Z</dcterms:modified>
</cp:coreProperties>
</file>